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anchor distT="0" distB="0" distL="114300" distR="114300" simplePos="0" relativeHeight="251659264" behindDoc="0" locked="0" layoutInCell="1" allowOverlap="1">
            <wp:simplePos x="0" y="0"/>
            <wp:positionH relativeFrom="column">
              <wp:posOffset>-998220</wp:posOffset>
            </wp:positionH>
            <wp:positionV relativeFrom="margin">
              <wp:align>top</wp:align>
            </wp:positionV>
            <wp:extent cx="899795" cy="899795"/>
            <wp:effectExtent l="0" t="0" r="0" b="0"/>
            <wp:wrapTight wrapText="bothSides">
              <wp:wrapPolygon>
                <wp:start x="6010" y="0"/>
                <wp:lineTo x="2760" y="1748"/>
                <wp:lineTo x="-497" y="5323"/>
                <wp:lineTo x="-497" y="15621"/>
                <wp:lineTo x="4624" y="20527"/>
                <wp:lineTo x="6010" y="20527"/>
                <wp:lineTo x="14445" y="20527"/>
                <wp:lineTo x="15830" y="20527"/>
                <wp:lineTo x="20989" y="15621"/>
                <wp:lineTo x="20989" y="5323"/>
                <wp:lineTo x="17704" y="1748"/>
                <wp:lineTo x="14445" y="0"/>
                <wp:lineTo x="601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7"/>
                    <a:stretch>
                      <a:fillRect/>
                    </a:stretch>
                  </pic:blipFill>
                  <pic:spPr>
                    <a:xfrm>
                      <a:off x="0" y="0"/>
                      <a:ext cx="899795" cy="899795"/>
                    </a:xfrm>
                    <a:prstGeom prst="rect">
                      <a:avLst/>
                    </a:prstGeom>
                  </pic:spPr>
                </pic:pic>
              </a:graphicData>
            </a:graphic>
          </wp:anchor>
        </w:drawing>
      </w:r>
      <w:r>
        <w:drawing>
          <wp:anchor distT="0" distB="0" distL="0" distR="0" simplePos="0" relativeHeight="251659264" behindDoc="0" locked="0" layoutInCell="1" allowOverlap="1">
            <wp:simplePos x="0" y="0"/>
            <wp:positionH relativeFrom="column">
              <wp:posOffset>3609340</wp:posOffset>
            </wp:positionH>
            <wp:positionV relativeFrom="paragraph">
              <wp:posOffset>127000</wp:posOffset>
            </wp:positionV>
            <wp:extent cx="2157730"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8"/>
                    <a:srcRect l="8895" t="37459" r="12559" b="37552"/>
                    <a:stretch>
                      <a:fillRect/>
                    </a:stretch>
                  </pic:blipFill>
                  <pic:spPr>
                    <a:xfrm>
                      <a:off x="0" y="0"/>
                      <a:ext cx="2157730" cy="686435"/>
                    </a:xfrm>
                    <a:prstGeom prst="rect">
                      <a:avLst/>
                    </a:prstGeom>
                  </pic:spPr>
                </pic:pic>
              </a:graphicData>
            </a:graphic>
          </wp:anchor>
        </w:drawing>
      </w:r>
    </w:p>
    <w:p>
      <w:pPr>
        <w:rPr>
          <w:rFonts w:ascii="Trajan Pro" w:hAnsi="Trajan Pro"/>
          <w:b/>
          <w:sz w:val="28"/>
          <w:szCs w:val="28"/>
        </w:rPr>
      </w:pPr>
      <w:r>
        <w:rPr>
          <w:rFonts w:ascii="Trajan Pro" w:hAnsi="Trajan Pro"/>
          <w:b/>
          <w:sz w:val="28"/>
          <w:szCs w:val="28"/>
        </w:rPr>
        <w:t xml:space="preserve">MINISTERUL FINANȚELOR       </w:t>
      </w:r>
    </w:p>
    <w:p>
      <w:pPr>
        <w:spacing w:before="0" w:after="46"/>
        <w:rPr>
          <w:rFonts w:ascii="Trebuchet MS" w:hAnsi="Trebuchet MS"/>
          <w:b/>
          <w:sz w:val="24"/>
          <w:szCs w:val="24"/>
          <w:lang w:val="ro-RO"/>
        </w:rPr>
      </w:pPr>
      <w:r>
        <w:rPr>
          <w:rFonts w:ascii="Trebuchet MS" w:hAnsi="Trebuchet MS"/>
          <w:b/>
          <w:sz w:val="24"/>
          <w:szCs w:val="24"/>
        </w:rPr>
        <w:t>Agen</w:t>
      </w:r>
      <w:r>
        <w:rPr>
          <w:rFonts w:ascii="Trebuchet MS" w:hAnsi="Trebuchet MS"/>
          <w:b/>
          <w:sz w:val="24"/>
          <w:szCs w:val="24"/>
          <w:lang w:val="ro-RO"/>
        </w:rPr>
        <w:t>ția Națională de Administrare Fiscală</w:t>
      </w:r>
    </w:p>
    <w:p>
      <w:pPr>
        <w:keepNext w:val="0"/>
        <w:keepLines w:val="0"/>
        <w:pageBreakBefore w:val="0"/>
        <w:widowControl/>
        <w:kinsoku/>
        <w:wordWrap/>
        <w:overflowPunct/>
        <w:topLinePunct w:val="0"/>
        <w:autoSpaceDE/>
        <w:autoSpaceDN/>
        <w:bidi w:val="0"/>
        <w:adjustRightInd/>
        <w:snapToGrid/>
        <w:spacing w:after="40" w:line="240" w:lineRule="auto"/>
        <w:textAlignment w:val="auto"/>
        <w:outlineLvl w:val="9"/>
        <w:rPr>
          <w:rFonts w:ascii="Trebuchet MS" w:hAnsi="Trebuchet MS" w:cs="Arial"/>
          <w:color w:val="000000"/>
          <w:kern w:val="0"/>
          <w:sz w:val="16"/>
          <w:szCs w:val="16"/>
          <w:lang w:val="ro-RO" w:eastAsia="en-US"/>
        </w:rPr>
      </w:pPr>
    </w:p>
    <w:p>
      <w:pPr>
        <w:keepNext w:val="0"/>
        <w:keepLines w:val="0"/>
        <w:pageBreakBefore w:val="0"/>
        <w:widowControl/>
        <w:kinsoku/>
        <w:wordWrap/>
        <w:overflowPunct/>
        <w:topLinePunct w:val="0"/>
        <w:autoSpaceDE/>
        <w:autoSpaceDN/>
        <w:bidi w:val="0"/>
        <w:adjustRightInd/>
        <w:snapToGrid/>
        <w:spacing w:after="40" w:line="240" w:lineRule="auto"/>
        <w:textAlignment w:val="auto"/>
        <w:outlineLvl w:val="9"/>
        <w:rPr>
          <w:rFonts w:ascii="Trebuchet MS" w:hAnsi="Trebuchet MS" w:cs="Arial"/>
          <w:color w:val="000000"/>
          <w:kern w:val="0"/>
          <w:sz w:val="16"/>
          <w:szCs w:val="16"/>
          <w:lang w:val="ro-RO" w:eastAsia="en-US"/>
        </w:rPr>
      </w:pPr>
    </w:p>
    <w:p>
      <w:pPr>
        <w:keepNext w:val="0"/>
        <w:keepLines w:val="0"/>
        <w:pageBreakBefore w:val="0"/>
        <w:widowControl/>
        <w:kinsoku/>
        <w:wordWrap/>
        <w:overflowPunct/>
        <w:topLinePunct w:val="0"/>
        <w:autoSpaceDE/>
        <w:autoSpaceDN/>
        <w:bidi w:val="0"/>
        <w:adjustRightInd/>
        <w:snapToGrid/>
        <w:spacing w:after="40" w:line="240" w:lineRule="auto"/>
        <w:textAlignment w:val="auto"/>
        <w:outlineLvl w:val="9"/>
        <w:rPr>
          <w:rFonts w:ascii="Trebuchet MS" w:hAnsi="Trebuchet MS" w:cs="Arial"/>
          <w:color w:val="000000"/>
          <w:kern w:val="0"/>
          <w:sz w:val="24"/>
          <w:szCs w:val="24"/>
          <w:lang w:val="ro-RO" w:eastAsia="en-US"/>
        </w:rPr>
      </w:pPr>
    </w:p>
    <w:p>
      <w:pPr>
        <w:keepNext w:val="0"/>
        <w:keepLines w:val="0"/>
        <w:pageBreakBefore w:val="0"/>
        <w:widowControl/>
        <w:kinsoku/>
        <w:wordWrap/>
        <w:overflowPunct/>
        <w:topLinePunct w:val="0"/>
        <w:autoSpaceDE/>
        <w:autoSpaceDN/>
        <w:bidi w:val="0"/>
        <w:adjustRightInd/>
        <w:snapToGrid/>
        <w:spacing w:after="40" w:line="240" w:lineRule="auto"/>
        <w:jc w:val="center"/>
        <w:textAlignment w:val="auto"/>
        <w:outlineLvl w:val="9"/>
        <w:rPr>
          <w:rFonts w:hint="default" w:ascii="Trebuchet MS" w:hAnsi="Trebuchet MS" w:cs="Arial"/>
          <w:b/>
          <w:bCs/>
          <w:color w:val="000000"/>
          <w:kern w:val="0"/>
          <w:sz w:val="26"/>
          <w:szCs w:val="26"/>
          <w:lang w:val="en-US" w:eastAsia="en-US"/>
        </w:rPr>
      </w:pPr>
      <w:r>
        <w:rPr>
          <w:rFonts w:hint="default" w:ascii="Trebuchet MS" w:hAnsi="Trebuchet MS" w:cs="Arial"/>
          <w:b/>
          <w:bCs/>
          <w:color w:val="000000"/>
          <w:kern w:val="0"/>
          <w:sz w:val="26"/>
          <w:szCs w:val="26"/>
          <w:lang w:val="en-US" w:eastAsia="en-US"/>
        </w:rPr>
        <w:t>Referat de aprobare</w:t>
      </w:r>
    </w:p>
    <w:p>
      <w:pPr>
        <w:keepNext w:val="0"/>
        <w:keepLines w:val="0"/>
        <w:pageBreakBefore w:val="0"/>
        <w:widowControl/>
        <w:kinsoku/>
        <w:wordWrap/>
        <w:overflowPunct/>
        <w:topLinePunct w:val="0"/>
        <w:autoSpaceDE/>
        <w:autoSpaceDN/>
        <w:bidi w:val="0"/>
        <w:adjustRightInd/>
        <w:snapToGrid/>
        <w:spacing w:after="40" w:line="240" w:lineRule="auto"/>
        <w:jc w:val="center"/>
        <w:textAlignment w:val="auto"/>
        <w:outlineLvl w:val="9"/>
        <w:rPr>
          <w:rFonts w:hint="default" w:ascii="Trebuchet MS" w:hAnsi="Trebuchet MS" w:cs="Arial"/>
          <w:b/>
          <w:bCs/>
          <w:color w:val="000000"/>
          <w:kern w:val="0"/>
          <w:sz w:val="24"/>
          <w:szCs w:val="24"/>
          <w:lang w:val="en-US" w:eastAsia="en-US"/>
        </w:rPr>
      </w:pPr>
      <w:r>
        <w:rPr>
          <w:rFonts w:hint="default" w:ascii="Trebuchet MS" w:hAnsi="Trebuchet MS" w:cs="Arial"/>
          <w:b/>
          <w:bCs/>
          <w:color w:val="000000"/>
          <w:kern w:val="0"/>
          <w:sz w:val="24"/>
          <w:szCs w:val="24"/>
          <w:lang w:val="en-US" w:eastAsia="en-US"/>
        </w:rPr>
        <w:t xml:space="preserve"> </w:t>
      </w:r>
    </w:p>
    <w:p>
      <w:pPr>
        <w:keepNext w:val="0"/>
        <w:keepLines w:val="0"/>
        <w:pageBreakBefore w:val="0"/>
        <w:widowControl/>
        <w:kinsoku/>
        <w:wordWrap/>
        <w:overflowPunct/>
        <w:topLinePunct w:val="0"/>
        <w:autoSpaceDE/>
        <w:autoSpaceDN/>
        <w:bidi w:val="0"/>
        <w:adjustRightInd/>
        <w:snapToGrid/>
        <w:spacing w:after="40" w:line="240" w:lineRule="auto"/>
        <w:jc w:val="both"/>
        <w:textAlignment w:val="auto"/>
        <w:outlineLvl w:val="9"/>
        <w:rPr>
          <w:rFonts w:hint="default" w:ascii="Trebuchet MS" w:hAnsi="Trebuchet MS" w:cs="Arial"/>
          <w:b/>
          <w:bCs/>
          <w:i/>
          <w:iCs/>
          <w:color w:val="000000"/>
          <w:kern w:val="0"/>
          <w:sz w:val="24"/>
          <w:szCs w:val="24"/>
          <w:lang w:val="en-US" w:eastAsia="en-US"/>
        </w:rPr>
      </w:pPr>
      <w:r>
        <w:rPr>
          <w:rFonts w:hint="default" w:ascii="Trebuchet MS" w:hAnsi="Trebuchet MS" w:cs="Arial"/>
          <w:b/>
          <w:bCs/>
          <w:i/>
          <w:iCs/>
          <w:color w:val="000000"/>
          <w:kern w:val="0"/>
          <w:sz w:val="24"/>
          <w:szCs w:val="24"/>
          <w:lang w:val="en-US" w:eastAsia="en-US"/>
        </w:rPr>
        <w:t>a proiectului  de ordin privind modificarea şi completarea Ordinului preşedintelui Agenţiei Naţionale de Administrare Fiscală nr.587/2016 pentru aprobarea modelului şi conţinutului formularelor utilizate pentru declararea impozitelor şi taxelor cu regim de stabilire prin autoimpunere sau reţinere la sursă</w:t>
      </w:r>
    </w:p>
    <w:p>
      <w:pPr>
        <w:keepNext w:val="0"/>
        <w:keepLines w:val="0"/>
        <w:pageBreakBefore w:val="0"/>
        <w:widowControl/>
        <w:kinsoku/>
        <w:wordWrap/>
        <w:overflowPunct/>
        <w:topLinePunct w:val="0"/>
        <w:autoSpaceDE/>
        <w:autoSpaceDN/>
        <w:bidi w:val="0"/>
        <w:adjustRightInd/>
        <w:snapToGrid/>
        <w:spacing w:after="40" w:line="240" w:lineRule="auto"/>
        <w:jc w:val="center"/>
        <w:textAlignment w:val="auto"/>
        <w:outlineLvl w:val="9"/>
        <w:rPr>
          <w:rFonts w:hint="default" w:ascii="Trebuchet MS" w:hAnsi="Trebuchet MS" w:cs="Arial"/>
          <w:b/>
          <w:bCs/>
          <w:color w:val="000000"/>
          <w:kern w:val="0"/>
          <w:sz w:val="24"/>
          <w:szCs w:val="24"/>
          <w:lang w:val="en-US" w:eastAsia="en-US"/>
        </w:rPr>
      </w:pPr>
    </w:p>
    <w:p>
      <w:pPr>
        <w:keepNext w:val="0"/>
        <w:keepLines w:val="0"/>
        <w:pageBreakBefore w:val="0"/>
        <w:widowControl/>
        <w:kinsoku/>
        <w:wordWrap/>
        <w:overflowPunct/>
        <w:topLinePunct w:val="0"/>
        <w:autoSpaceDE/>
        <w:autoSpaceDN/>
        <w:bidi w:val="0"/>
        <w:adjustRightInd/>
        <w:snapToGrid/>
        <w:spacing w:after="40" w:line="240" w:lineRule="auto"/>
        <w:textAlignment w:val="auto"/>
        <w:outlineLvl w:val="9"/>
        <w:rPr>
          <w:rFonts w:ascii="Trebuchet MS" w:hAnsi="Trebuchet MS" w:cs="Arial"/>
          <w:b/>
          <w:bCs/>
          <w:color w:val="000000"/>
          <w:kern w:val="0"/>
          <w:sz w:val="16"/>
          <w:szCs w:val="16"/>
          <w:lang w:val="ro-RO" w:eastAsia="en-US"/>
        </w:rPr>
      </w:pPr>
    </w:p>
    <w:p>
      <w:pPr>
        <w:keepNext w:val="0"/>
        <w:keepLines w:val="0"/>
        <w:pageBreakBefore w:val="0"/>
        <w:widowControl/>
        <w:kinsoku/>
        <w:wordWrap/>
        <w:overflowPunct/>
        <w:topLinePunct w:val="0"/>
        <w:autoSpaceDE/>
        <w:autoSpaceDN/>
        <w:bidi w:val="0"/>
        <w:adjustRightInd/>
        <w:snapToGrid/>
        <w:spacing w:after="40" w:line="240" w:lineRule="auto"/>
        <w:textAlignment w:val="auto"/>
        <w:outlineLvl w:val="9"/>
        <w:rPr>
          <w:rFonts w:ascii="Trebuchet MS" w:hAnsi="Trebuchet MS" w:cs="Arial"/>
          <w:color w:val="000000"/>
          <w:kern w:val="0"/>
          <w:sz w:val="16"/>
          <w:szCs w:val="16"/>
          <w:lang w:val="ro-RO" w:eastAsia="en-US"/>
        </w:rPr>
      </w:pPr>
    </w:p>
    <w:p>
      <w:pPr>
        <w:widowControl/>
        <w:suppressAutoHyphens/>
        <w:bidi w:val="0"/>
        <w:spacing w:before="0" w:after="160" w:line="259" w:lineRule="auto"/>
        <w:jc w:val="both"/>
        <w:rPr>
          <w:rFonts w:hint="default" w:ascii="Trebuchet MS" w:hAnsi="Trebuchet MS" w:cstheme="minorBidi"/>
          <w:color w:val="auto"/>
          <w:kern w:val="0"/>
          <w:sz w:val="24"/>
          <w:szCs w:val="24"/>
          <w:lang w:val="ro-RO" w:eastAsia="en-US"/>
        </w:rPr>
      </w:pPr>
      <w:r>
        <w:rPr>
          <w:rFonts w:hint="default" w:ascii="Trebuchet MS" w:hAnsi="Trebuchet MS" w:cs="Arial"/>
          <w:b w:val="0"/>
          <w:bCs w:val="0"/>
          <w:sz w:val="24"/>
          <w:szCs w:val="24"/>
          <w:lang w:val="ro-RO"/>
        </w:rPr>
        <w:t xml:space="preserve">Prin art.9 din Legea nr.162/2026 privind declararea situaţiei de criză pe piaţa ţiţeiului </w:t>
      </w:r>
      <w:r>
        <w:rPr>
          <w:rFonts w:hint="default" w:ascii="Trebuchet MS" w:hAnsi="Trebuchet MS" w:cstheme="minorBidi"/>
          <w:color w:val="auto"/>
          <w:kern w:val="0"/>
          <w:sz w:val="24"/>
          <w:szCs w:val="24"/>
          <w:lang w:val="ro-RO" w:eastAsia="en-US"/>
        </w:rPr>
        <w:t xml:space="preserve">şi/sau a produselor petroliere, reducerea temporară a nivelului accizei la motorină, instituirea contribuției de solidaritate, precum şi pentru stabilirea unor măsuri de protecție a economiei, populaţiei și de funcționare a pieței energiei, </w:t>
      </w:r>
      <w:r>
        <w:rPr>
          <w:rFonts w:hint="default" w:ascii="Trebuchet MS" w:hAnsi="Trebuchet MS" w:cstheme="minorBidi"/>
          <w:color w:val="auto"/>
          <w:kern w:val="0"/>
          <w:sz w:val="24"/>
          <w:szCs w:val="24"/>
          <w:lang w:val="en-US" w:eastAsia="en-US"/>
        </w:rPr>
        <w:t>a fost instituit</w:t>
      </w:r>
      <w:r>
        <w:rPr>
          <w:rFonts w:hint="default" w:ascii="Trebuchet MS" w:hAnsi="Trebuchet MS" w:cstheme="minorBidi"/>
          <w:color w:val="auto"/>
          <w:kern w:val="0"/>
          <w:sz w:val="24"/>
          <w:szCs w:val="24"/>
          <w:lang w:val="ro-RO" w:eastAsia="en-US"/>
        </w:rPr>
        <w:t>ă</w:t>
      </w:r>
      <w:r>
        <w:rPr>
          <w:rFonts w:hint="default" w:ascii="Trebuchet MS" w:hAnsi="Trebuchet MS" w:cstheme="minorBidi"/>
          <w:color w:val="auto"/>
          <w:kern w:val="0"/>
          <w:sz w:val="24"/>
          <w:szCs w:val="24"/>
          <w:lang w:val="en-US" w:eastAsia="en-US"/>
        </w:rPr>
        <w:t xml:space="preserve"> contribuți</w:t>
      </w:r>
      <w:r>
        <w:rPr>
          <w:rFonts w:hint="default" w:ascii="Trebuchet MS" w:hAnsi="Trebuchet MS" w:cstheme="minorBidi"/>
          <w:color w:val="auto"/>
          <w:kern w:val="0"/>
          <w:sz w:val="24"/>
          <w:szCs w:val="24"/>
          <w:lang w:val="ro-RO" w:eastAsia="en-US"/>
        </w:rPr>
        <w:t>a</w:t>
      </w:r>
      <w:r>
        <w:rPr>
          <w:rFonts w:hint="default" w:ascii="Trebuchet MS" w:hAnsi="Trebuchet MS" w:cstheme="minorBidi"/>
          <w:color w:val="auto"/>
          <w:kern w:val="0"/>
          <w:sz w:val="24"/>
          <w:szCs w:val="24"/>
          <w:lang w:val="en-US" w:eastAsia="en-US"/>
        </w:rPr>
        <w:t xml:space="preserve"> pe venituri excepționale</w:t>
      </w:r>
      <w:r>
        <w:rPr>
          <w:rFonts w:hint="default" w:ascii="Trebuchet MS" w:hAnsi="Trebuchet MS" w:cstheme="minorBidi"/>
          <w:color w:val="auto"/>
          <w:kern w:val="0"/>
          <w:sz w:val="24"/>
          <w:szCs w:val="24"/>
          <w:lang w:val="ro-RO" w:eastAsia="en-US"/>
        </w:rPr>
        <w:t xml:space="preserve"> pentru operatorii economici, titulari de acorduri petroliere, care extrag ţiţei din zăcăminte situate pe teritoriul României şi obţin venituri din comercializarea acestuia și pentru operatorii economici, titulari de acorduri petroliere, care extrag ţiţei din zăcăminte situate pe teritoriul României şi care, direct sau prin persoanele afiliate, prelucrează acest ţiţei şi obţin venituri din comercializarea produselor energetice.</w:t>
      </w:r>
    </w:p>
    <w:p>
      <w:pPr>
        <w:widowControl/>
        <w:suppressAutoHyphens/>
        <w:bidi w:val="0"/>
        <w:spacing w:before="0" w:after="160" w:line="259" w:lineRule="auto"/>
        <w:jc w:val="both"/>
        <w:rPr>
          <w:rFonts w:hint="default" w:ascii="Trebuchet MS" w:hAnsi="Trebuchet MS" w:cstheme="minorBidi"/>
          <w:color w:val="auto"/>
          <w:kern w:val="0"/>
          <w:sz w:val="24"/>
          <w:szCs w:val="24"/>
          <w:lang w:val="ro-RO" w:eastAsia="en-US"/>
        </w:rPr>
      </w:pPr>
      <w:r>
        <w:rPr>
          <w:rFonts w:hint="default" w:ascii="Trebuchet MS" w:hAnsi="Trebuchet MS" w:cstheme="minorBidi"/>
          <w:color w:val="auto"/>
          <w:kern w:val="0"/>
          <w:sz w:val="24"/>
          <w:szCs w:val="24"/>
          <w:lang w:val="ro-RO" w:eastAsia="en-US"/>
        </w:rPr>
        <w:t>La art.12 alin.(1) din aceeași lege se reglementează calculul și declararea lunară a  c</w:t>
      </w:r>
      <w:r>
        <w:rPr>
          <w:rFonts w:hint="default" w:ascii="Trebuchet MS" w:hAnsi="Trebuchet MS" w:eastAsiaTheme="minorHAnsi"/>
          <w:sz w:val="24"/>
          <w:szCs w:val="24"/>
          <w:lang w:val="ro-RO"/>
        </w:rPr>
        <w:t xml:space="preserve">ontribuţiei pe venituri excepţionale, până la data de 25 inclusiv a lunii următoare celei pentru care se datorează. Totodată, potrivit alin.(2) al aceluiași articol, </w:t>
      </w:r>
      <w:r>
        <w:rPr>
          <w:rFonts w:hint="default" w:ascii="Trebuchet MS" w:hAnsi="Trebuchet MS" w:cstheme="minorBidi"/>
          <w:color w:val="auto"/>
          <w:kern w:val="0"/>
          <w:sz w:val="24"/>
          <w:szCs w:val="24"/>
          <w:lang w:val="ro-RO" w:eastAsia="en-US"/>
        </w:rPr>
        <w:t>modelul şi conţinutul declaraţiei privind contribuția pe venituri excepționale se aprobă prin ordin al preşedintelui Agenţiei Naţionale de Administrare Fiscală.</w:t>
      </w:r>
    </w:p>
    <w:p>
      <w:pPr>
        <w:widowControl/>
        <w:suppressAutoHyphens/>
        <w:bidi w:val="0"/>
        <w:spacing w:before="0" w:after="160" w:line="259" w:lineRule="auto"/>
        <w:jc w:val="both"/>
        <w:rPr>
          <w:rFonts w:hint="default" w:ascii="Trebuchet MS" w:hAnsi="Trebuchet MS" w:cstheme="minorBidi"/>
          <w:color w:val="auto"/>
          <w:kern w:val="0"/>
          <w:sz w:val="24"/>
          <w:szCs w:val="24"/>
          <w:lang w:val="ro-RO" w:eastAsia="en-US"/>
        </w:rPr>
      </w:pPr>
      <w:r>
        <w:rPr>
          <w:rFonts w:hint="default" w:ascii="Trebuchet MS" w:hAnsi="Trebuchet MS" w:cstheme="minorBidi"/>
          <w:color w:val="auto"/>
          <w:kern w:val="0"/>
          <w:sz w:val="24"/>
          <w:szCs w:val="24"/>
          <w:lang w:val="ro-RO" w:eastAsia="en-US"/>
        </w:rPr>
        <w:t>Având în vedere cele prezentate, este necesară modificarea și completarea Ordinului președintelui Agenției Naționale de Administrare Fiscală nr.587/2016, în sensul introducerii unei noi poziții</w:t>
      </w:r>
      <w:r>
        <w:rPr>
          <w:rFonts w:hint="default" w:ascii="Trebuchet MS" w:hAnsi="Trebuchet MS" w:cstheme="minorBidi"/>
          <w:color w:val="auto"/>
          <w:kern w:val="0"/>
          <w:sz w:val="24"/>
          <w:szCs w:val="24"/>
          <w:lang w:val="en-US" w:eastAsia="en-US"/>
        </w:rPr>
        <w:t xml:space="preserve"> </w:t>
      </w:r>
      <w:r>
        <w:rPr>
          <w:rFonts w:hint="default" w:ascii="Trebuchet MS" w:hAnsi="Trebuchet MS" w:cstheme="minorBidi"/>
          <w:color w:val="auto"/>
          <w:kern w:val="0"/>
          <w:sz w:val="24"/>
          <w:szCs w:val="24"/>
          <w:lang w:val="ro-RO" w:eastAsia="en-US"/>
        </w:rPr>
        <w:t>în No</w:t>
      </w:r>
      <w:r>
        <w:rPr>
          <w:rFonts w:hint="default" w:ascii="Trebuchet MS" w:hAnsi="Trebuchet MS" w:cstheme="minorBidi"/>
          <w:color w:val="auto"/>
          <w:kern w:val="0"/>
          <w:sz w:val="24"/>
          <w:szCs w:val="24"/>
          <w:lang w:val="en-US" w:eastAsia="en-US"/>
        </w:rPr>
        <w:t>m</w:t>
      </w:r>
      <w:r>
        <w:rPr>
          <w:rFonts w:hint="default" w:ascii="Trebuchet MS" w:hAnsi="Trebuchet MS" w:cstheme="minorBidi"/>
          <w:color w:val="auto"/>
          <w:kern w:val="0"/>
          <w:sz w:val="24"/>
          <w:szCs w:val="24"/>
          <w:lang w:val="ro-RO" w:eastAsia="en-US"/>
        </w:rPr>
        <w:t>enclatorul</w:t>
      </w:r>
      <w:r>
        <w:rPr>
          <w:rFonts w:hint="default" w:ascii="Trebuchet MS" w:hAnsi="Trebuchet MS" w:cstheme="minorBidi"/>
          <w:color w:val="auto"/>
          <w:kern w:val="0"/>
          <w:sz w:val="24"/>
          <w:szCs w:val="24"/>
          <w:lang w:val="en-US" w:eastAsia="en-US"/>
        </w:rPr>
        <w:t xml:space="preserve"> obligațiilor de plată la bugetul de stat</w:t>
      </w:r>
      <w:r>
        <w:rPr>
          <w:rFonts w:hint="default" w:ascii="Trebuchet MS" w:hAnsi="Trebuchet MS" w:cstheme="minorBidi"/>
          <w:color w:val="auto"/>
          <w:kern w:val="0"/>
          <w:sz w:val="24"/>
          <w:szCs w:val="24"/>
          <w:lang w:val="ro-RO" w:eastAsia="en-US"/>
        </w:rPr>
        <w:t>, în concordanță cu noile reglementări din Legea nr.</w:t>
      </w:r>
      <w:r>
        <w:rPr>
          <w:rFonts w:hint="default" w:ascii="Trebuchet MS" w:hAnsi="Trebuchet MS" w:cstheme="minorBidi"/>
          <w:color w:val="auto"/>
          <w:kern w:val="0"/>
          <w:sz w:val="24"/>
          <w:szCs w:val="24"/>
          <w:lang w:val="en-US" w:eastAsia="en-US"/>
        </w:rPr>
        <w:t>162/2026</w:t>
      </w:r>
      <w:r>
        <w:rPr>
          <w:rFonts w:hint="default" w:ascii="Trebuchet MS" w:hAnsi="Trebuchet MS" w:cstheme="minorBidi"/>
          <w:color w:val="auto"/>
          <w:kern w:val="0"/>
          <w:sz w:val="24"/>
          <w:szCs w:val="24"/>
          <w:lang w:val="ro-RO" w:eastAsia="en-US"/>
        </w:rPr>
        <w:t>.</w:t>
      </w:r>
    </w:p>
    <w:p>
      <w:pPr>
        <w:widowControl/>
        <w:suppressAutoHyphens/>
        <w:bidi w:val="0"/>
        <w:spacing w:before="0" w:after="160" w:line="259" w:lineRule="auto"/>
        <w:jc w:val="both"/>
        <w:rPr>
          <w:rFonts w:hint="default" w:ascii="Trebuchet MS" w:hAnsi="Trebuchet MS" w:cstheme="minorBidi"/>
          <w:color w:val="auto"/>
          <w:kern w:val="0"/>
          <w:sz w:val="24"/>
          <w:szCs w:val="24"/>
          <w:lang w:val="ro-RO" w:eastAsia="en-US"/>
        </w:rPr>
      </w:pPr>
      <w:r>
        <w:rPr>
          <w:rFonts w:hint="default" w:ascii="Trebuchet MS" w:hAnsi="Trebuchet MS" w:cstheme="minorBidi"/>
          <w:color w:val="auto"/>
          <w:kern w:val="0"/>
          <w:sz w:val="24"/>
          <w:szCs w:val="24"/>
          <w:lang w:val="ro-RO" w:eastAsia="en-US"/>
        </w:rPr>
        <w:t>Ca urmare, prin prezentul proiect de ordin</w:t>
      </w:r>
      <w:r>
        <w:rPr>
          <w:rFonts w:hint="default" w:ascii="Trebuchet MS" w:hAnsi="Trebuchet MS" w:eastAsiaTheme="minorHAnsi" w:cstheme="minorBidi"/>
          <w:color w:val="auto"/>
          <w:kern w:val="0"/>
          <w:sz w:val="24"/>
          <w:szCs w:val="24"/>
          <w:lang w:val="ro-RO" w:eastAsia="en-US"/>
        </w:rPr>
        <w:t xml:space="preserve"> se </w:t>
      </w:r>
      <w:r>
        <w:rPr>
          <w:rFonts w:hint="default" w:ascii="Trebuchet MS" w:hAnsi="Trebuchet MS" w:cstheme="minorBidi"/>
          <w:color w:val="auto"/>
          <w:kern w:val="0"/>
          <w:sz w:val="24"/>
          <w:szCs w:val="24"/>
          <w:lang w:val="ro-RO" w:eastAsia="en-US"/>
        </w:rPr>
        <w:t>propune modificarea și completarea Ordinului preşedintelui Agenţiei Naţionale de Administrare Fiscală nr.587/2016 pentru aprobarea modelului şi conţinutului formularelor utilizate pentru declararea impozitelor şi taxelor cu regim de stabilire prin autoimpunere sau reţinere la sursă, astfel:</w:t>
      </w:r>
    </w:p>
    <w:p>
      <w:pPr>
        <w:widowControl/>
        <w:suppressAutoHyphens/>
        <w:bidi w:val="0"/>
        <w:spacing w:before="0" w:after="160" w:line="259" w:lineRule="auto"/>
        <w:jc w:val="both"/>
        <w:rPr>
          <w:rFonts w:hint="default" w:ascii="Trebuchet MS" w:hAnsi="Trebuchet MS" w:cstheme="minorBidi"/>
          <w:color w:val="auto"/>
          <w:kern w:val="0"/>
          <w:sz w:val="24"/>
          <w:szCs w:val="24"/>
          <w:lang w:val="ro-RO" w:eastAsia="en-US"/>
        </w:rPr>
      </w:pPr>
      <w:r>
        <w:rPr>
          <w:rFonts w:hint="default" w:ascii="Trebuchet MS" w:hAnsi="Trebuchet MS" w:cstheme="minorBidi"/>
          <w:color w:val="auto"/>
          <w:kern w:val="0"/>
          <w:sz w:val="24"/>
          <w:szCs w:val="24"/>
          <w:lang w:val="ro-RO" w:eastAsia="en-US"/>
        </w:rPr>
        <w:t>- modificarea i</w:t>
      </w:r>
      <w:r>
        <w:rPr>
          <w:rFonts w:hint="default" w:ascii="Trebuchet MS" w:hAnsi="Trebuchet MS" w:eastAsiaTheme="minorHAnsi" w:cstheme="minorBidi"/>
          <w:color w:val="auto"/>
          <w:kern w:val="0"/>
          <w:sz w:val="24"/>
          <w:szCs w:val="24"/>
          <w:lang w:val="ro-RO" w:eastAsia="en-US"/>
        </w:rPr>
        <w:t>nstrucțiunil</w:t>
      </w:r>
      <w:r>
        <w:rPr>
          <w:rFonts w:hint="default" w:ascii="Trebuchet MS" w:hAnsi="Trebuchet MS" w:cstheme="minorBidi"/>
          <w:color w:val="auto"/>
          <w:kern w:val="0"/>
          <w:sz w:val="24"/>
          <w:szCs w:val="24"/>
          <w:lang w:val="ro-RO" w:eastAsia="en-US"/>
        </w:rPr>
        <w:t>or</w:t>
      </w:r>
      <w:r>
        <w:rPr>
          <w:rFonts w:hint="default" w:ascii="Trebuchet MS" w:hAnsi="Trebuchet MS" w:eastAsiaTheme="minorHAnsi" w:cstheme="minorBidi"/>
          <w:color w:val="auto"/>
          <w:kern w:val="0"/>
          <w:sz w:val="24"/>
          <w:szCs w:val="24"/>
          <w:lang w:val="ro-RO" w:eastAsia="en-US"/>
        </w:rPr>
        <w:t xml:space="preserve"> de completare a </w:t>
      </w:r>
      <w:r>
        <w:rPr>
          <w:rFonts w:hint="default" w:ascii="Trebuchet MS" w:hAnsi="Trebuchet MS" w:cstheme="minorBidi"/>
          <w:color w:val="auto"/>
          <w:kern w:val="0"/>
          <w:sz w:val="24"/>
          <w:szCs w:val="24"/>
          <w:lang w:val="ro-RO" w:eastAsia="en-US"/>
        </w:rPr>
        <w:t>formularului, conform modificărilor legislative mai sus menționate;</w:t>
      </w:r>
    </w:p>
    <w:p>
      <w:pPr>
        <w:widowControl/>
        <w:suppressAutoHyphens/>
        <w:bidi w:val="0"/>
        <w:spacing w:before="0" w:after="160" w:line="259" w:lineRule="auto"/>
        <w:jc w:val="both"/>
        <w:rPr>
          <w:rFonts w:hint="default" w:ascii="Trebuchet MS" w:hAnsi="Trebuchet MS" w:eastAsiaTheme="minorHAnsi" w:cstheme="minorBidi"/>
          <w:color w:val="auto"/>
          <w:kern w:val="0"/>
          <w:sz w:val="24"/>
          <w:szCs w:val="24"/>
          <w:lang w:val="ro-RO" w:eastAsia="en-US"/>
        </w:rPr>
      </w:pPr>
      <w:r>
        <w:rPr>
          <w:rFonts w:hint="default" w:ascii="Trebuchet MS" w:hAnsi="Trebuchet MS" w:cstheme="minorBidi"/>
          <w:color w:val="auto"/>
          <w:kern w:val="0"/>
          <w:sz w:val="24"/>
          <w:szCs w:val="24"/>
          <w:lang w:val="ro-RO" w:eastAsia="en-US"/>
        </w:rPr>
        <w:t xml:space="preserve">- completarea </w:t>
      </w:r>
      <w:r>
        <w:rPr>
          <w:rFonts w:hint="default" w:ascii="Trebuchet MS" w:hAnsi="Trebuchet MS" w:eastAsiaTheme="minorHAnsi" w:cstheme="minorBidi"/>
          <w:color w:val="auto"/>
          <w:kern w:val="0"/>
          <w:sz w:val="24"/>
          <w:szCs w:val="24"/>
          <w:lang w:val="ro-RO" w:eastAsia="en-US"/>
        </w:rPr>
        <w:t xml:space="preserve">Nomenclatorului obligațiilor de plată la bugetul de stat, anexă la formularul 100 </w:t>
      </w:r>
      <w:r>
        <w:rPr>
          <w:rFonts w:hint="default" w:ascii="Trebuchet MS" w:hAnsi="Trebuchet MS" w:cstheme="minorBidi"/>
          <w:color w:val="auto"/>
          <w:kern w:val="0"/>
          <w:sz w:val="24"/>
          <w:szCs w:val="24"/>
          <w:lang w:val="ro-RO" w:eastAsia="en-US"/>
        </w:rPr>
        <w:t>„</w:t>
      </w:r>
      <w:r>
        <w:rPr>
          <w:rFonts w:hint="default" w:ascii="Trebuchet MS" w:hAnsi="Trebuchet MS" w:eastAsiaTheme="minorHAnsi" w:cstheme="minorBidi"/>
          <w:color w:val="auto"/>
          <w:kern w:val="0"/>
          <w:sz w:val="24"/>
          <w:szCs w:val="24"/>
          <w:lang w:val="ro-RO" w:eastAsia="en-US"/>
        </w:rPr>
        <w:t>Declarație privind obligațiile de plată la bugetul de stat”,</w:t>
      </w:r>
      <w:r>
        <w:rPr>
          <w:rFonts w:hint="default" w:ascii="Trebuchet MS" w:hAnsi="Trebuchet MS" w:cstheme="minorBidi"/>
          <w:color w:val="auto"/>
          <w:kern w:val="0"/>
          <w:sz w:val="24"/>
          <w:szCs w:val="24"/>
          <w:lang w:val="ro-RO" w:eastAsia="en-US"/>
        </w:rPr>
        <w:t xml:space="preserve"> cu o nouă poziție, poziția</w:t>
      </w:r>
      <w:r>
        <w:rPr>
          <w:rFonts w:hint="default" w:ascii="Trebuchet MS" w:hAnsi="Trebuchet MS" w:eastAsiaTheme="minorHAnsi" w:cstheme="minorBidi"/>
          <w:color w:val="auto"/>
          <w:kern w:val="0"/>
          <w:sz w:val="24"/>
          <w:szCs w:val="24"/>
          <w:lang w:val="ro-RO" w:eastAsia="en-US"/>
        </w:rPr>
        <w:t xml:space="preserve"> </w:t>
      </w:r>
      <w:r>
        <w:rPr>
          <w:rFonts w:hint="default" w:ascii="Trebuchet MS" w:hAnsi="Trebuchet MS" w:cstheme="minorBidi"/>
          <w:color w:val="auto"/>
          <w:kern w:val="0"/>
          <w:sz w:val="24"/>
          <w:szCs w:val="24"/>
          <w:lang w:val="ro-RO" w:eastAsia="en-US"/>
        </w:rPr>
        <w:t>117 „Contribuție pe venituri excepționale”.</w:t>
      </w:r>
      <w:bookmarkStart w:id="0" w:name="_GoBack"/>
      <w:bookmarkEnd w:id="0"/>
    </w:p>
    <w:sectPr>
      <w:footerReference r:id="rId5" w:type="default"/>
      <w:pgSz w:w="11906" w:h="16838"/>
      <w:pgMar w:top="611" w:right="567" w:bottom="1587" w:left="2268" w:header="0" w:footer="720" w:gutter="0"/>
      <w:pgNumType w:fmt="decimal"/>
      <w:cols w:space="720" w:num="1"/>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iberation Sans">
    <w:panose1 w:val="020B0604020202020204"/>
    <w:charset w:val="00"/>
    <w:family w:val="roman"/>
    <w:pitch w:val="default"/>
    <w:sig w:usb0="E0000AFF" w:usb1="500078FF" w:usb2="00000021" w:usb3="00000000" w:csb0="600001BF" w:csb1="DFF70000"/>
  </w:font>
  <w:font w:name="Microsoft YaHei">
    <w:panose1 w:val="020B0503020204020204"/>
    <w:charset w:val="86"/>
    <w:family w:val="auto"/>
    <w:pitch w:val="default"/>
    <w:sig w:usb0="80000287" w:usb1="2ACF3C50" w:usb2="00000016" w:usb3="00000000" w:csb0="0004001F" w:csb1="00000000"/>
  </w:font>
  <w:font w:name="Trajan Pro">
    <w:panose1 w:val="02020502050506020301"/>
    <w:charset w:val="00"/>
    <w:family w:val="roman"/>
    <w:pitch w:val="default"/>
    <w:sig w:usb0="800000AF" w:usb1="5000204B" w:usb2="00000000" w:usb3="00000000" w:csb0="0000009B" w:csb1="00000000"/>
  </w:font>
  <w:font w:name="Trebuchet MS">
    <w:panose1 w:val="020B0603020202020204"/>
    <w:charset w:val="00"/>
    <w:family w:val="roman"/>
    <w:pitch w:val="default"/>
    <w:sig w:usb0="00000687" w:usb1="00000000" w:usb2="00000000" w:usb3="00000000" w:csb0="2000009F" w:csb1="00000000"/>
  </w:font>
  <w:font w:name="Franklin Gothic Demi">
    <w:panose1 w:val="020B070302010202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2104826"/>
      <w:docPartObj>
        <w:docPartGallery w:val="autotext"/>
      </w:docPartObj>
    </w:sdtPr>
    <w:sdtContent>
      <w:p>
        <w:pPr>
          <w:pStyle w:val="6"/>
        </w:pPr>
      </w:p>
      <w:p>
        <w:pPr>
          <w:pStyle w:val="6"/>
          <w:widowControl/>
          <w:bidi w:val="0"/>
          <w:spacing w:before="0" w:after="0" w:line="240" w:lineRule="auto"/>
          <w:ind w:right="0" w:firstLine="0"/>
          <w:jc w:val="left"/>
          <w:rPr>
            <w:rFonts w:ascii="Trebuchet MS" w:hAnsi="Trebuchet MS"/>
          </w:rPr>
        </w:pPr>
        <w:r>
          <w:rPr>
            <w:rFonts w:ascii="Trebuchet MS" w:hAnsi="Trebuchet MS" w:eastAsia="Franklin Gothic Demi" w:cs="Arial"/>
            <w:b/>
            <w:bCs/>
            <w:color w:val="000000"/>
            <w:sz w:val="18"/>
            <w:szCs w:val="18"/>
            <w:lang w:val="ro-RO"/>
          </w:rPr>
          <w:t>Document care conține date cu caracter personal protejate de prevederile Regulamentului (UE) 2016/679</w:t>
        </w:r>
      </w:p>
      <w:p>
        <w:pPr>
          <w:pStyle w:val="6"/>
          <w:widowControl/>
          <w:bidi w:val="0"/>
          <w:spacing w:before="0" w:after="0" w:line="240" w:lineRule="auto"/>
          <w:ind w:right="0" w:firstLine="0"/>
          <w:jc w:val="right"/>
        </w:pPr>
        <w:r>
          <w:t xml:space="preserve">Page </w:t>
        </w:r>
        <w:r>
          <w:rPr>
            <w:bCs/>
            <w:sz w:val="24"/>
            <w:szCs w:val="24"/>
          </w:rPr>
          <w:fldChar w:fldCharType="begin"/>
        </w:r>
        <w:r>
          <w:rPr>
            <w:bCs/>
            <w:sz w:val="24"/>
            <w:szCs w:val="24"/>
          </w:rPr>
          <w:instrText xml:space="preserve">PAGE</w:instrText>
        </w:r>
        <w:r>
          <w:rPr>
            <w:bCs/>
            <w:sz w:val="24"/>
            <w:szCs w:val="24"/>
          </w:rPr>
          <w:fldChar w:fldCharType="separate"/>
        </w:r>
        <w:r>
          <w:rPr>
            <w:bCs/>
            <w:sz w:val="24"/>
            <w:szCs w:val="24"/>
          </w:rPr>
          <w:t>1</w:t>
        </w:r>
        <w:r>
          <w:rPr>
            <w:bCs/>
            <w:sz w:val="24"/>
            <w:szCs w:val="24"/>
          </w:rPr>
          <w:fldChar w:fldCharType="end"/>
        </w:r>
        <w:r>
          <w:rPr>
            <w:bCs/>
            <w:sz w:val="24"/>
            <w:szCs w:val="24"/>
          </w:rPr>
          <w:t>/</w:t>
        </w:r>
        <w:r>
          <w:rPr>
            <w:bCs/>
            <w:sz w:val="24"/>
            <w:szCs w:val="24"/>
          </w:rPr>
          <w:fldChar w:fldCharType="begin"/>
        </w:r>
        <w:r>
          <w:rPr>
            <w:bCs/>
            <w:sz w:val="24"/>
            <w:szCs w:val="24"/>
          </w:rPr>
          <w:instrText xml:space="preserve">NUMPAGES</w:instrText>
        </w:r>
        <w:r>
          <w:rPr>
            <w:bCs/>
            <w:sz w:val="24"/>
            <w:szCs w:val="24"/>
          </w:rPr>
          <w:fldChar w:fldCharType="separate"/>
        </w:r>
        <w:r>
          <w:rPr>
            <w:bCs/>
            <w:sz w:val="24"/>
            <w:szCs w:val="24"/>
          </w:rPr>
          <w:t>1</w:t>
        </w:r>
        <w:r>
          <w:rPr>
            <w:bCs/>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2043BF5"/>
    <w:rsid w:val="045C3182"/>
    <w:rsid w:val="056D6F8F"/>
    <w:rsid w:val="067E4BC7"/>
    <w:rsid w:val="06A85C60"/>
    <w:rsid w:val="07E3589F"/>
    <w:rsid w:val="082E6145"/>
    <w:rsid w:val="099361EE"/>
    <w:rsid w:val="09F32A10"/>
    <w:rsid w:val="0B27239E"/>
    <w:rsid w:val="0C577692"/>
    <w:rsid w:val="0C897D13"/>
    <w:rsid w:val="0E35417C"/>
    <w:rsid w:val="0E5E783B"/>
    <w:rsid w:val="11195F52"/>
    <w:rsid w:val="121E7271"/>
    <w:rsid w:val="132505E7"/>
    <w:rsid w:val="13FE15EF"/>
    <w:rsid w:val="16CF5026"/>
    <w:rsid w:val="16E31F1B"/>
    <w:rsid w:val="16E9292E"/>
    <w:rsid w:val="17AC2D51"/>
    <w:rsid w:val="18F561A4"/>
    <w:rsid w:val="19A321AC"/>
    <w:rsid w:val="1A6C15A3"/>
    <w:rsid w:val="1B493A0C"/>
    <w:rsid w:val="1C6E627B"/>
    <w:rsid w:val="1CE8344D"/>
    <w:rsid w:val="1EB43949"/>
    <w:rsid w:val="1FEB39B0"/>
    <w:rsid w:val="20A6733F"/>
    <w:rsid w:val="20B164D7"/>
    <w:rsid w:val="20EF22C1"/>
    <w:rsid w:val="21076A9B"/>
    <w:rsid w:val="23A1598D"/>
    <w:rsid w:val="23D53F7D"/>
    <w:rsid w:val="23F92711"/>
    <w:rsid w:val="24FA33DB"/>
    <w:rsid w:val="251B728A"/>
    <w:rsid w:val="2721571A"/>
    <w:rsid w:val="28B62F5D"/>
    <w:rsid w:val="292F446E"/>
    <w:rsid w:val="2C3A4801"/>
    <w:rsid w:val="2DD942D8"/>
    <w:rsid w:val="2DDC0F11"/>
    <w:rsid w:val="2E0C3A16"/>
    <w:rsid w:val="2FB63537"/>
    <w:rsid w:val="31473463"/>
    <w:rsid w:val="31ED10E9"/>
    <w:rsid w:val="35A74443"/>
    <w:rsid w:val="35B848DE"/>
    <w:rsid w:val="36AB7651"/>
    <w:rsid w:val="36F56D2B"/>
    <w:rsid w:val="37933378"/>
    <w:rsid w:val="37BA2F14"/>
    <w:rsid w:val="37BF2F2E"/>
    <w:rsid w:val="37F147BA"/>
    <w:rsid w:val="38165070"/>
    <w:rsid w:val="38D9077C"/>
    <w:rsid w:val="3D01693E"/>
    <w:rsid w:val="3D4C5F94"/>
    <w:rsid w:val="3E286A11"/>
    <w:rsid w:val="406801AF"/>
    <w:rsid w:val="40EF7456"/>
    <w:rsid w:val="40FA50C8"/>
    <w:rsid w:val="41F11862"/>
    <w:rsid w:val="428172F0"/>
    <w:rsid w:val="42E370ED"/>
    <w:rsid w:val="4300624B"/>
    <w:rsid w:val="44B419D1"/>
    <w:rsid w:val="44B83D3F"/>
    <w:rsid w:val="450D38AB"/>
    <w:rsid w:val="46D26D0D"/>
    <w:rsid w:val="48A76B23"/>
    <w:rsid w:val="48CD3843"/>
    <w:rsid w:val="4B396645"/>
    <w:rsid w:val="4C2B07B0"/>
    <w:rsid w:val="4E101F7B"/>
    <w:rsid w:val="526C43BD"/>
    <w:rsid w:val="538C165C"/>
    <w:rsid w:val="5447048D"/>
    <w:rsid w:val="54F860E9"/>
    <w:rsid w:val="55B73944"/>
    <w:rsid w:val="56F4195D"/>
    <w:rsid w:val="583C5F5D"/>
    <w:rsid w:val="59EB54CF"/>
    <w:rsid w:val="5DE07592"/>
    <w:rsid w:val="5E186200"/>
    <w:rsid w:val="5ED73DBA"/>
    <w:rsid w:val="60821751"/>
    <w:rsid w:val="60B352A2"/>
    <w:rsid w:val="615B2248"/>
    <w:rsid w:val="62700D45"/>
    <w:rsid w:val="63700D60"/>
    <w:rsid w:val="638D7383"/>
    <w:rsid w:val="64053EC6"/>
    <w:rsid w:val="68A71F32"/>
    <w:rsid w:val="694D06C6"/>
    <w:rsid w:val="69757766"/>
    <w:rsid w:val="6A5E0A53"/>
    <w:rsid w:val="6D7069B2"/>
    <w:rsid w:val="6E0154E6"/>
    <w:rsid w:val="707B70D2"/>
    <w:rsid w:val="7240115C"/>
    <w:rsid w:val="72AC372A"/>
    <w:rsid w:val="72BE15EB"/>
    <w:rsid w:val="73AD7D52"/>
    <w:rsid w:val="761E5F53"/>
    <w:rsid w:val="764C225F"/>
    <w:rsid w:val="76CD5A28"/>
    <w:rsid w:val="77A729B4"/>
    <w:rsid w:val="77B55FA5"/>
    <w:rsid w:val="77F659A7"/>
    <w:rsid w:val="7BCC1673"/>
    <w:rsid w:val="7C403714"/>
    <w:rsid w:val="7D03427F"/>
    <w:rsid w:val="7D5C6BC0"/>
    <w:rsid w:val="7E241060"/>
    <w:rsid w:val="7E8D44C9"/>
    <w:rsid w:val="7F5818C2"/>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bidi w:val="0"/>
      <w:spacing w:before="0" w:after="160" w:line="259" w:lineRule="auto"/>
      <w:jc w:val="left"/>
    </w:pPr>
    <w:rPr>
      <w:rFonts w:asciiTheme="minorHAnsi" w:hAnsiTheme="minorHAnsi" w:eastAsiaTheme="minorHAnsi" w:cstheme="minorBidi"/>
      <w:color w:val="auto"/>
      <w:kern w:val="0"/>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before="0" w:after="140" w:line="276" w:lineRule="auto"/>
    </w:pPr>
  </w:style>
  <w:style w:type="paragraph" w:styleId="5">
    <w:name w:val="caption"/>
    <w:basedOn w:val="1"/>
    <w:next w:val="1"/>
    <w:qFormat/>
    <w:uiPriority w:val="0"/>
    <w:pPr>
      <w:suppressLineNumbers/>
      <w:spacing w:before="120" w:after="120"/>
    </w:pPr>
    <w:rPr>
      <w:rFonts w:cs="Arial"/>
      <w:i/>
      <w:iCs/>
      <w:sz w:val="24"/>
      <w:szCs w:val="24"/>
    </w:rPr>
  </w:style>
  <w:style w:type="paragraph" w:styleId="6">
    <w:name w:val="footer"/>
    <w:basedOn w:val="1"/>
    <w:link w:val="12"/>
    <w:unhideWhenUsed/>
    <w:qFormat/>
    <w:uiPriority w:val="99"/>
    <w:pPr>
      <w:tabs>
        <w:tab w:val="center" w:pos="4680"/>
        <w:tab w:val="right" w:pos="9360"/>
      </w:tabs>
      <w:spacing w:before="0" w:after="0" w:line="240" w:lineRule="auto"/>
    </w:pPr>
  </w:style>
  <w:style w:type="paragraph" w:styleId="7">
    <w:name w:val="header"/>
    <w:basedOn w:val="1"/>
    <w:link w:val="11"/>
    <w:unhideWhenUsed/>
    <w:qFormat/>
    <w:uiPriority w:val="99"/>
    <w:pPr>
      <w:tabs>
        <w:tab w:val="center" w:pos="4680"/>
        <w:tab w:val="right" w:pos="9360"/>
      </w:tabs>
      <w:spacing w:before="0" w:after="0" w:line="240" w:lineRule="auto"/>
    </w:pPr>
  </w:style>
  <w:style w:type="character" w:styleId="8">
    <w:name w:val="Hyperlink"/>
    <w:basedOn w:val="2"/>
    <w:semiHidden/>
    <w:unhideWhenUsed/>
    <w:qFormat/>
    <w:uiPriority w:val="99"/>
    <w:rPr>
      <w:color w:val="0000FF"/>
      <w:u w:val="single"/>
    </w:rPr>
  </w:style>
  <w:style w:type="paragraph" w:styleId="9">
    <w:name w:val="List"/>
    <w:basedOn w:val="4"/>
    <w:qFormat/>
    <w:uiPriority w:val="0"/>
    <w:rPr>
      <w:rFonts w:cs="Arial"/>
    </w:rPr>
  </w:style>
  <w:style w:type="paragraph" w:styleId="10">
    <w:name w:val="Normal (Web)"/>
    <w:basedOn w:val="1"/>
    <w:qFormat/>
    <w:uiPriority w:val="0"/>
    <w:pPr>
      <w:spacing w:before="280" w:after="280"/>
    </w:pPr>
    <w:rPr>
      <w:color w:val="000000"/>
    </w:rPr>
  </w:style>
  <w:style w:type="character" w:customStyle="1" w:styleId="11">
    <w:name w:val="Header Char"/>
    <w:basedOn w:val="2"/>
    <w:link w:val="7"/>
    <w:qFormat/>
    <w:uiPriority w:val="99"/>
  </w:style>
  <w:style w:type="character" w:customStyle="1" w:styleId="12">
    <w:name w:val="Footer Char"/>
    <w:basedOn w:val="2"/>
    <w:link w:val="6"/>
    <w:qFormat/>
    <w:uiPriority w:val="99"/>
  </w:style>
  <w:style w:type="character" w:customStyle="1" w:styleId="13">
    <w:name w:val="Internet Link"/>
    <w:basedOn w:val="2"/>
    <w:unhideWhenUsed/>
    <w:qFormat/>
    <w:uiPriority w:val="99"/>
    <w:rPr>
      <w:color w:val="0563C1" w:themeColor="hyperlink"/>
      <w:u w:val="single"/>
      <w14:textFill>
        <w14:solidFill>
          <w14:schemeClr w14:val="hlink"/>
        </w14:solidFill>
      </w14:textFill>
    </w:rPr>
  </w:style>
  <w:style w:type="paragraph" w:customStyle="1" w:styleId="14">
    <w:name w:val="Heading"/>
    <w:basedOn w:val="1"/>
    <w:next w:val="4"/>
    <w:qFormat/>
    <w:uiPriority w:val="0"/>
    <w:pPr>
      <w:keepNext/>
      <w:spacing w:before="240" w:after="120"/>
    </w:pPr>
    <w:rPr>
      <w:rFonts w:ascii="Liberation Sans" w:hAnsi="Liberation Sans" w:eastAsia="Microsoft YaHei" w:cs="Arial"/>
      <w:sz w:val="28"/>
      <w:szCs w:val="28"/>
    </w:rPr>
  </w:style>
  <w:style w:type="paragraph" w:customStyle="1" w:styleId="15">
    <w:name w:val="Index"/>
    <w:basedOn w:val="1"/>
    <w:qFormat/>
    <w:uiPriority w:val="0"/>
    <w:pPr>
      <w:suppressLineNumbers/>
    </w:pPr>
    <w:rPr>
      <w:rFonts w:cs="Arial"/>
    </w:rPr>
  </w:style>
  <w:style w:type="paragraph" w:customStyle="1" w:styleId="16">
    <w:name w:val="Caracter Caracter"/>
    <w:basedOn w:val="1"/>
    <w:qFormat/>
    <w:uiPriority w:val="0"/>
    <w:pPr>
      <w:spacing w:before="0" w:after="0" w:line="240" w:lineRule="auto"/>
    </w:pPr>
    <w:rPr>
      <w:rFonts w:ascii="Times New Roman" w:hAnsi="Times New Roman" w:eastAsia="Times New Roman" w:cs="Times New Roman"/>
      <w:sz w:val="24"/>
      <w:szCs w:val="24"/>
      <w:lang w:val="pl-PL" w:eastAsia="pl-PL"/>
    </w:rPr>
  </w:style>
  <w:style w:type="paragraph" w:customStyle="1" w:styleId="17">
    <w:name w:val="Frame Contents"/>
    <w:basedOn w:val="1"/>
    <w:qFormat/>
    <w:uiPriority w:val="0"/>
  </w:style>
  <w:style w:type="paragraph" w:customStyle="1" w:styleId="18">
    <w:name w:val="Default Text:1"/>
    <w:basedOn w:val="1"/>
    <w:qFormat/>
    <w:uiPriority w:val="0"/>
    <w:rPr>
      <w:kern w:val="0"/>
      <w:szCs w:val="20"/>
      <w:lang w:eastAsia="ar-SA"/>
    </w:rPr>
  </w:style>
  <w:style w:type="paragraph" w:customStyle="1" w:styleId="19">
    <w:name w:val="Default Text:2"/>
    <w:basedOn w:val="1"/>
    <w:qFormat/>
    <w:uiPriority w:val="0"/>
    <w:pPr>
      <w:suppressAutoHyphens w:val="0"/>
      <w:overflowPunct w:val="0"/>
      <w:autoSpaceDE w:val="0"/>
    </w:pPr>
    <w:rPr>
      <w:kern w:val="2"/>
      <w:szCs w:val="20"/>
    </w:rPr>
  </w:style>
  <w:style w:type="paragraph" w:customStyle="1" w:styleId="20">
    <w:name w:val="Default Text"/>
    <w:basedOn w:val="1"/>
    <w:qFormat/>
    <w:uiPriority w:val="0"/>
    <w:pPr>
      <w:autoSpaceDE w:val="0"/>
    </w:pPr>
    <w:rPr>
      <w:kern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Ministerul Finantelor Publice</Company>
  <Pages>2</Pages>
  <Words>483</Words>
  <Characters>2990</Characters>
  <Paragraphs>23</Paragraphs>
  <TotalTime>1</TotalTime>
  <ScaleCrop>false</ScaleCrop>
  <LinksUpToDate>false</LinksUpToDate>
  <CharactersWithSpaces>3933</CharactersWithSpaces>
  <Application>WPS Office_11.2.0.10351_F1E327BC-269C-435d-A152-05C5408002CA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2021-06-24T07:29:00Z</dcterms:created>
  <dc:creator>CRISTIAN-NICOLAE MARIN</dc:creator>
  <cp:lastModifiedBy>49073745</cp:lastModifiedBy>
  <cp:lastPrinted>2026-08-19T11:28:00Z</cp:lastPrinted>
  <dcterms:modified xsi:type="dcterms:W3CDTF">2026-08-20T08:06:21Z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Ministerul Finantelor Publice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1033-11.2.0.10351</vt:lpwstr>
  </property>
  <property fmtid="{D5CDD505-2E9C-101B-9397-08002B2CF9AE}" pid="10" name="ICV">
    <vt:lpwstr>4775C38223904EC18D7C178E440E70C8</vt:lpwstr>
  </property>
</Properties>
</file>